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227E2BF2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65711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12/</w:t>
      </w:r>
      <w:r w:rsidR="000001A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11/23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793B61C0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0001A1">
        <w:rPr>
          <w:rFonts w:ascii="Avenir Next" w:hAnsi="Avenir Next" w:cstheme="minorHAnsi"/>
          <w:b/>
          <w:bCs/>
        </w:rPr>
        <w:t>1</w:t>
      </w:r>
      <w:r w:rsidR="0065711A">
        <w:rPr>
          <w:rFonts w:ascii="Avenir Next" w:hAnsi="Avenir Next" w:cstheme="minorHAnsi"/>
          <w:b/>
          <w:bCs/>
        </w:rPr>
        <w:t>9</w:t>
      </w:r>
      <w:r w:rsidR="00C21B4B">
        <w:rPr>
          <w:rFonts w:ascii="Avenir Next" w:hAnsi="Avenir Next" w:cstheme="minorHAnsi"/>
          <w:b/>
          <w:bCs/>
        </w:rPr>
        <w:t>/1</w:t>
      </w:r>
      <w:r w:rsidR="000001A1">
        <w:rPr>
          <w:rFonts w:ascii="Avenir Next" w:hAnsi="Avenir Next" w:cstheme="minorHAnsi"/>
          <w:b/>
          <w:bCs/>
        </w:rPr>
        <w:t>1</w:t>
      </w:r>
      <w:r w:rsidR="00C21B4B">
        <w:rPr>
          <w:rFonts w:ascii="Avenir Next" w:hAnsi="Avenir Next" w:cstheme="minorHAnsi"/>
          <w:b/>
          <w:bCs/>
        </w:rPr>
        <w:t xml:space="preserve">/23: </w:t>
      </w:r>
      <w:r w:rsidR="0065711A">
        <w:rPr>
          <w:rFonts w:ascii="Avenir Next" w:hAnsi="Avenir Next" w:cstheme="minorHAnsi"/>
        </w:rPr>
        <w:t>Ad</w:t>
      </w:r>
      <w:r w:rsidR="000001A1">
        <w:rPr>
          <w:rFonts w:ascii="Avenir Next" w:hAnsi="Avenir Next" w:cstheme="minorHAnsi"/>
        </w:rPr>
        <w:t>e’s Group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12EA7FA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0001A1">
        <w:rPr>
          <w:rFonts w:ascii="Avenir Next" w:hAnsi="Avenir Next" w:cs="Arial"/>
          <w:color w:val="222222"/>
          <w:lang w:bidi="en-GB"/>
        </w:rPr>
        <w:t>Commanded to love</w:t>
      </w:r>
    </w:p>
    <w:p w14:paraId="3814989A" w14:textId="6DC93CE6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0001A1">
        <w:rPr>
          <w:rFonts w:ascii="Avenir Next" w:hAnsi="Avenir Next" w:cstheme="minorHAnsi"/>
          <w:color w:val="000000"/>
        </w:rPr>
        <w:t>Love one another</w:t>
      </w:r>
    </w:p>
    <w:p w14:paraId="25DEDC4C" w14:textId="77777777" w:rsidR="00034E95" w:rsidRP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0C3C3F3C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Based on KCSPC Discipleship series book </w:t>
      </w:r>
      <w:r w:rsidR="000001A1">
        <w:rPr>
          <w:rFonts w:ascii="Avenir Next Medium" w:hAnsi="Avenir Next Medium"/>
          <w:lang w:bidi="en-GB"/>
        </w:rPr>
        <w:t>5</w:t>
      </w:r>
    </w:p>
    <w:p w14:paraId="1F2AEEE3" w14:textId="1084EBA7" w:rsidR="0056532E" w:rsidRPr="005114C2" w:rsidRDefault="000001A1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65711A">
        <w:rPr>
          <w:rFonts w:ascii="Avenir Next Medium" w:hAnsi="Avenir Next Medium"/>
          <w:lang w:bidi="en-GB"/>
        </w:rPr>
        <w:t>2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2F2F" w14:textId="77777777" w:rsidR="003D0B9E" w:rsidRDefault="003D0B9E" w:rsidP="00CE41A8">
      <w:r>
        <w:separator/>
      </w:r>
    </w:p>
  </w:endnote>
  <w:endnote w:type="continuationSeparator" w:id="0">
    <w:p w14:paraId="7EBFA0FD" w14:textId="77777777" w:rsidR="003D0B9E" w:rsidRDefault="003D0B9E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D86F" w14:textId="77777777" w:rsidR="003D0B9E" w:rsidRDefault="003D0B9E" w:rsidP="00CE41A8">
      <w:r>
        <w:separator/>
      </w:r>
    </w:p>
  </w:footnote>
  <w:footnote w:type="continuationSeparator" w:id="0">
    <w:p w14:paraId="3F5A6BEC" w14:textId="77777777" w:rsidR="003D0B9E" w:rsidRDefault="003D0B9E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2023-11-13T13:55:00Z</dcterms:created>
  <dcterms:modified xsi:type="dcterms:W3CDTF">2023-11-13T13:55:00Z</dcterms:modified>
</cp:coreProperties>
</file>